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D7E9" w14:textId="77777777" w:rsidR="0046438A" w:rsidRDefault="00452BA2" w:rsidP="0046438A">
      <w:pPr>
        <w:rPr>
          <w:b/>
          <w:bCs/>
          <w:color w:val="C00000"/>
          <w:sz w:val="36"/>
          <w:szCs w:val="36"/>
        </w:rPr>
      </w:pPr>
      <w:r w:rsidRPr="00577A23">
        <w:rPr>
          <w:b/>
          <w:bCs/>
          <w:color w:val="C00000"/>
          <w:sz w:val="36"/>
          <w:szCs w:val="36"/>
        </w:rPr>
        <w:t>PRODUTOS RELACIONADOS</w:t>
      </w:r>
      <w:r w:rsidR="00AB5C2F" w:rsidRPr="00577A23">
        <w:rPr>
          <w:b/>
          <w:bCs/>
          <w:color w:val="C00000"/>
          <w:sz w:val="36"/>
          <w:szCs w:val="36"/>
        </w:rPr>
        <w:t xml:space="preserve">:  </w:t>
      </w:r>
    </w:p>
    <w:p w14:paraId="2B61E66A" w14:textId="7E60AEBF" w:rsidR="00AB5C2F" w:rsidRPr="0046438A" w:rsidRDefault="00452BA2" w:rsidP="0046438A">
      <w:pPr>
        <w:rPr>
          <w:b/>
          <w:bCs/>
          <w:color w:val="C00000"/>
          <w:sz w:val="36"/>
          <w:szCs w:val="36"/>
        </w:rPr>
      </w:pPr>
      <w:r w:rsidRPr="00AB5C2F">
        <w:rPr>
          <w:rFonts w:ascii="Open Sans" w:hAnsi="Open Sans" w:cs="Open Sans"/>
          <w:b/>
          <w:bCs/>
          <w:color w:val="343333"/>
          <w:kern w:val="36"/>
          <w:sz w:val="36"/>
          <w:szCs w:val="36"/>
        </w:rPr>
        <w:t xml:space="preserve">SENSOLITE NOVA TEST </w:t>
      </w:r>
    </w:p>
    <w:p w14:paraId="7CCF9491" w14:textId="4A406E57" w:rsidR="00902D53" w:rsidRPr="0046438A" w:rsidRDefault="0046438A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Kit </w:t>
      </w:r>
      <w:r w:rsidR="00902D5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50 </w:t>
      </w:r>
      <w:r w:rsidR="009C051D" w:rsidRPr="009C051D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Tiras</w:t>
      </w:r>
      <w:r w:rsidR="009C051D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Teste</w:t>
      </w:r>
      <w:r w:rsidR="009C051D" w:rsidRPr="009C051D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</w:t>
      </w:r>
      <w:r w:rsidR="00CE333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para doseamento de glicose no sangue (Gl</w:t>
      </w:r>
      <w: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i</w:t>
      </w:r>
      <w:r w:rsidR="00CE333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cémia)</w:t>
      </w:r>
    </w:p>
    <w:p w14:paraId="143A634E" w14:textId="3546DD6A" w:rsidR="009C051D" w:rsidRPr="009C051D" w:rsidRDefault="009C051D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9C051D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In</w:t>
      </w:r>
      <w:r w:rsidR="00067720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seridas</w:t>
      </w:r>
      <w:r w:rsidRPr="009C051D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no Programa Nacional de Prevenção e Controlo da Diabetes</w:t>
      </w:r>
    </w:p>
    <w:p w14:paraId="773208C8" w14:textId="77777777" w:rsidR="009C051D" w:rsidRPr="0046438A" w:rsidRDefault="009C051D" w:rsidP="00004115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1C1A88CE" w14:textId="04E5289C" w:rsidR="00D1744D" w:rsidRPr="0046438A" w:rsidRDefault="009C051D" w:rsidP="00665E10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As tiras </w:t>
      </w:r>
      <w:proofErr w:type="spellStart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SensoLite</w:t>
      </w:r>
      <w:proofErr w:type="spellEnd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Nova </w:t>
      </w:r>
      <w:proofErr w:type="spellStart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Test</w:t>
      </w:r>
      <w:proofErr w:type="spellEnd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, fornecem um método fácil e preciso para a determinação da concentração de glicose em sangue total capilar. Estas tiras de teste de glicose no sangue (glicémia</w:t>
      </w:r>
      <w:r w:rsidR="00F845E6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), foram</w:t>
      </w: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desenvolvidas para serem utilizadas com os medidores de glicose no sangue SENSOLITE NOVA PLUS.</w:t>
      </w:r>
    </w:p>
    <w:p w14:paraId="3005DA1C" w14:textId="6B8D3804" w:rsidR="009C051D" w:rsidRPr="0046438A" w:rsidRDefault="009C051D" w:rsidP="00665E10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773ED9E4" w14:textId="57B4AF30" w:rsidR="009C051D" w:rsidRPr="0046438A" w:rsidRDefault="009C051D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Exatidão e precisão: O desempenho das tiras de teste </w:t>
      </w:r>
      <w:proofErr w:type="spellStart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SensoLite</w:t>
      </w:r>
      <w:proofErr w:type="spellEnd"/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Nova foi avaliado em laboratório e em testes clínicos</w:t>
      </w:r>
      <w:r w:rsidR="00F845E6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 internacionais</w:t>
      </w: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, obtendo excelentes resultados.</w:t>
      </w:r>
    </w:p>
    <w:p w14:paraId="49B1AD56" w14:textId="4053A178" w:rsidR="00577A23" w:rsidRPr="0046438A" w:rsidRDefault="00577A23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69BCC3BE" w14:textId="77777777" w:rsidR="00577A23" w:rsidRPr="0046438A" w:rsidRDefault="00577A23" w:rsidP="00577A23">
      <w:pPr>
        <w:spacing w:line="240" w:lineRule="atLeast"/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Rigor de resultados e um melhor controlo de uma das complicações da diabetes:</w:t>
      </w:r>
    </w:p>
    <w:p w14:paraId="09AE30D6" w14:textId="77777777" w:rsidR="00577A23" w:rsidRPr="0046438A" w:rsidRDefault="00577A23" w:rsidP="00577A23">
      <w:pPr>
        <w:pStyle w:val="ListParagraph"/>
        <w:numPr>
          <w:ilvl w:val="0"/>
          <w:numId w:val="3"/>
        </w:numPr>
        <w:spacing w:line="240" w:lineRule="atLeast"/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Através da tecnologia </w:t>
      </w:r>
      <w:proofErr w:type="spellStart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>Advanced</w:t>
      </w:r>
      <w:proofErr w:type="spellEnd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 </w:t>
      </w:r>
      <w:proofErr w:type="spellStart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>Biosensor</w:t>
      </w:r>
      <w:proofErr w:type="spellEnd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, é possível utilizar o método de reação GLUCOSE-OXIDASE, método de eleição utilizado pelos laboratórios clínicos, originando assim uma excelente correlação de resultados com os laboratórios clínicos e valores de A1c. </w:t>
      </w:r>
    </w:p>
    <w:p w14:paraId="7A9428ED" w14:textId="77777777" w:rsidR="00577A23" w:rsidRPr="0046438A" w:rsidRDefault="00577A23" w:rsidP="00577A23">
      <w:pPr>
        <w:pStyle w:val="ListParagraph"/>
        <w:numPr>
          <w:ilvl w:val="0"/>
          <w:numId w:val="3"/>
        </w:numPr>
        <w:spacing w:line="240" w:lineRule="atLeast"/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Pelo método Glucose Oxidase, são eliminados os efeitos de substâncias interferentes nos resultados de glicemia, tais como, alguns fármacos e excipientes utilizados no fabrico de alguns medicamentos, pelo que se recomenda a utilização deste método também e nomeadamente, para doentes em Diálise Peritoneal e/ou </w:t>
      </w:r>
      <w:proofErr w:type="spellStart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>polimedicados</w:t>
      </w:r>
      <w:proofErr w:type="spellEnd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 em geral.</w:t>
      </w:r>
    </w:p>
    <w:p w14:paraId="636661A4" w14:textId="22B82EBA" w:rsidR="00577A23" w:rsidRPr="0046438A" w:rsidRDefault="00577A23" w:rsidP="0046438A">
      <w:pPr>
        <w:pStyle w:val="ListParagraph"/>
        <w:numPr>
          <w:ilvl w:val="0"/>
          <w:numId w:val="3"/>
        </w:numPr>
        <w:spacing w:line="240" w:lineRule="atLeast"/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A excelente correlação de resultados, a eliminação de substâncias interferentes, aliadas ao ajuste de calibração entre lotes e tira </w:t>
      </w:r>
      <w:proofErr w:type="spellStart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>Check</w:t>
      </w:r>
      <w:proofErr w:type="spellEnd"/>
      <w:r w:rsidRPr="0046438A">
        <w:rPr>
          <w:rFonts w:ascii="Open Sans" w:eastAsia="Times New Roman" w:hAnsi="Open Sans" w:cs="Open Sans"/>
          <w:color w:val="32312D"/>
          <w:sz w:val="23"/>
          <w:szCs w:val="23"/>
          <w:shd w:val="clear" w:color="auto" w:fill="FFFFFF"/>
        </w:rPr>
        <w:t xml:space="preserve"> de Controlo de Qualidade, permite a obtenção de uma alta precisão e exatidão, promovendo assim a diminuição de erros analíticos e a alta segurança e fiabilidade dos resultados obtidos. </w:t>
      </w:r>
    </w:p>
    <w:p w14:paraId="308EAFFF" w14:textId="6D028D25" w:rsidR="00F845E6" w:rsidRPr="0046438A" w:rsidRDefault="00F845E6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6F8C0833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Tecnologia avançada de biossensores</w:t>
      </w:r>
    </w:p>
    <w:p w14:paraId="6A238409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Absorção de amostra de sangue capilar</w:t>
      </w:r>
    </w:p>
    <w:p w14:paraId="6F8D42AE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Reação rápida, com volume de amostra reduzido</w:t>
      </w:r>
    </w:p>
    <w:p w14:paraId="1943FF41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Prazo de validade: 24 meses</w:t>
      </w:r>
    </w:p>
    <w:p w14:paraId="60A425C5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janela de visualização</w:t>
      </w:r>
    </w:p>
    <w:p w14:paraId="1449E982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728FEC20" w14:textId="77777777" w:rsidR="00F845E6" w:rsidRPr="0046438A" w:rsidRDefault="00F845E6" w:rsidP="00F845E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Apresentação: 50 tiras em um frasco</w:t>
      </w:r>
    </w:p>
    <w:p w14:paraId="15EDB789" w14:textId="5BBFE4D6" w:rsidR="00F845E6" w:rsidRPr="0046438A" w:rsidRDefault="00F845E6" w:rsidP="009C051D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</w:p>
    <w:p w14:paraId="77545D4A" w14:textId="77777777" w:rsidR="00902D53" w:rsidRPr="0046438A" w:rsidRDefault="00902D53" w:rsidP="00902D53">
      <w:pPr>
        <w:rPr>
          <w:rFonts w:ascii="Open Sans" w:hAnsi="Open Sans" w:cs="Open Sans"/>
          <w:b/>
          <w:bCs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b/>
          <w:bCs/>
          <w:color w:val="32312D"/>
          <w:sz w:val="23"/>
          <w:szCs w:val="23"/>
          <w:shd w:val="clear" w:color="auto" w:fill="FFFFFF"/>
        </w:rPr>
        <w:t>Preço:</w:t>
      </w:r>
    </w:p>
    <w:p w14:paraId="7CB58E6C" w14:textId="77777777" w:rsidR="00014F08" w:rsidRPr="0046438A" w:rsidRDefault="00014F08" w:rsidP="00014F08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Para compra sem receita médica emitida pelo Sistema Nacional de Saúde de Portugal</w:t>
      </w:r>
    </w:p>
    <w:p w14:paraId="7A8BCA34" w14:textId="438B02AF" w:rsidR="009C051D" w:rsidRPr="009C051D" w:rsidRDefault="00014F08" w:rsidP="00014F08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Referência</w:t>
      </w:r>
      <w:r w:rsidR="00902D5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: 001-6191429; Preço: </w:t>
      </w:r>
      <w:r w:rsidR="00372226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19</w:t>
      </w:r>
      <w:r w:rsidR="00902D5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,</w:t>
      </w:r>
      <w:r w:rsidR="00372226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84</w:t>
      </w:r>
      <w:r w:rsidR="00902D5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€ + 6% IVA </w:t>
      </w:r>
      <w:r w:rsidR="004E623C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>(ou 21,03€)</w:t>
      </w:r>
    </w:p>
    <w:p w14:paraId="2833D405" w14:textId="13835997" w:rsidR="00902D53" w:rsidRPr="0046438A" w:rsidRDefault="00902D53" w:rsidP="0037222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lastRenderedPageBreak/>
        <w:t xml:space="preserve"> </w:t>
      </w:r>
    </w:p>
    <w:p w14:paraId="2D5E4DC9" w14:textId="77777777" w:rsidR="0046438A" w:rsidRDefault="0046438A" w:rsidP="00902D53">
      <w:pPr>
        <w:rPr>
          <w:rFonts w:ascii="Open Sans" w:hAnsi="Open Sans" w:cs="Open Sans"/>
          <w:b/>
          <w:bCs/>
          <w:color w:val="32312D"/>
          <w:sz w:val="23"/>
          <w:szCs w:val="23"/>
          <w:shd w:val="clear" w:color="auto" w:fill="FFFFFF"/>
        </w:rPr>
      </w:pPr>
    </w:p>
    <w:p w14:paraId="67599A95" w14:textId="1393EFAC" w:rsidR="00902D53" w:rsidRPr="0046438A" w:rsidRDefault="00902D53" w:rsidP="00902D53">
      <w:pPr>
        <w:rPr>
          <w:rFonts w:ascii="Open Sans" w:hAnsi="Open Sans" w:cs="Open Sans"/>
          <w:b/>
          <w:bCs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b/>
          <w:bCs/>
          <w:color w:val="32312D"/>
          <w:sz w:val="23"/>
          <w:szCs w:val="23"/>
          <w:shd w:val="clear" w:color="auto" w:fill="FFFFFF"/>
        </w:rPr>
        <w:t>NOTA:</w:t>
      </w:r>
    </w:p>
    <w:p w14:paraId="04D1A118" w14:textId="77777777" w:rsidR="00372226" w:rsidRPr="0046438A" w:rsidRDefault="00372226" w:rsidP="0037222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Para aquisição com receita médica emitida pelo Sistema Nacional de Saúde (SNS) de Portugal e com comparticipação SNS, deve dirigir-se a uma farmácia próximo de si: </w:t>
      </w:r>
    </w:p>
    <w:p w14:paraId="63A76843" w14:textId="0FF39B9A" w:rsidR="00902D53" w:rsidRPr="0046438A" w:rsidRDefault="00372226" w:rsidP="00372226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Código SNS: </w:t>
      </w:r>
      <w:r w:rsidR="00902D53"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6191429; Preço: 21,03€ (6% IVA incluído) </w:t>
      </w:r>
    </w:p>
    <w:p w14:paraId="2857B792" w14:textId="77777777" w:rsidR="00902D53" w:rsidRPr="0046438A" w:rsidRDefault="00902D53" w:rsidP="00902D53">
      <w:pPr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</w:pPr>
      <w:r w:rsidRPr="0046438A">
        <w:rPr>
          <w:rFonts w:ascii="Open Sans" w:hAnsi="Open Sans" w:cs="Open Sans"/>
          <w:color w:val="32312D"/>
          <w:sz w:val="23"/>
          <w:szCs w:val="23"/>
          <w:shd w:val="clear" w:color="auto" w:fill="FFFFFF"/>
        </w:rPr>
        <w:t xml:space="preserve">(85% SNS: 18,29€ + 15% Utente: 2,74€) </w:t>
      </w:r>
    </w:p>
    <w:p w14:paraId="1EBA2BE5" w14:textId="3BDBC698" w:rsidR="00014F08" w:rsidRPr="00372226" w:rsidRDefault="00372226" w:rsidP="00372226">
      <w:pPr>
        <w:rPr>
          <w:rFonts w:ascii="Open Sans" w:hAnsi="Open Sans" w:cs="Open Sans"/>
          <w:color w:val="404040"/>
          <w:sz w:val="18"/>
          <w:szCs w:val="18"/>
        </w:rPr>
      </w:pPr>
      <w:r>
        <w:t>(</w:t>
      </w:r>
      <w:proofErr w:type="spellStart"/>
      <w:r w:rsidRPr="00F845E6">
        <w:rPr>
          <w:rFonts w:asciiTheme="minorHAnsi" w:eastAsiaTheme="minorEastAsia" w:hAnsiTheme="minorHAnsi" w:cstheme="minorBidi"/>
          <w:i/>
          <w:iCs/>
          <w:sz w:val="20"/>
          <w:szCs w:val="20"/>
        </w:rPr>
        <w:t>art</w:t>
      </w:r>
      <w:proofErr w:type="spellEnd"/>
      <w:r w:rsidRPr="00F845E6">
        <w:rPr>
          <w:rFonts w:asciiTheme="minorHAnsi" w:eastAsiaTheme="minorEastAsia" w:hAnsiTheme="minorHAnsi" w:cstheme="minorBidi"/>
          <w:i/>
          <w:iCs/>
          <w:sz w:val="20"/>
          <w:szCs w:val="20"/>
        </w:rPr>
        <w:t>º 5 nº1 da Portaria nº 35/2016 de 1 de Março</w:t>
      </w:r>
      <w:r>
        <w:rPr>
          <w:rFonts w:asciiTheme="minorHAnsi" w:eastAsiaTheme="minorEastAsia" w:hAnsiTheme="minorHAnsi" w:cstheme="minorBidi"/>
          <w:i/>
          <w:iCs/>
          <w:sz w:val="20"/>
          <w:szCs w:val="20"/>
        </w:rPr>
        <w:t>, disponível apenas para território de Portugal Continental e arquipélagos da Madeira e Açores</w:t>
      </w:r>
      <w:r>
        <w:rPr>
          <w:rFonts w:ascii="Open Sans" w:hAnsi="Open Sans" w:cs="Open Sans"/>
          <w:color w:val="404040"/>
          <w:sz w:val="18"/>
          <w:szCs w:val="18"/>
        </w:rPr>
        <w:t>)</w:t>
      </w:r>
    </w:p>
    <w:p w14:paraId="6732B353" w14:textId="77777777" w:rsidR="00014F08" w:rsidRDefault="00014F08" w:rsidP="00014F08">
      <w:pPr>
        <w:rPr>
          <w:rFonts w:ascii="Calibri" w:hAnsi="Calibri" w:cs="Calibri"/>
          <w:color w:val="000000"/>
          <w:sz w:val="21"/>
          <w:szCs w:val="21"/>
        </w:rPr>
      </w:pPr>
    </w:p>
    <w:p w14:paraId="551B770D" w14:textId="77777777" w:rsidR="00014F08" w:rsidRDefault="00014F08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0648F106" w14:textId="359DAED2" w:rsidR="00902D53" w:rsidRDefault="00902D53" w:rsidP="009C051D">
      <w:pPr>
        <w:rPr>
          <w:rFonts w:ascii="Calibri" w:hAnsi="Calibri" w:cs="Calibri"/>
          <w:color w:val="000000"/>
          <w:sz w:val="21"/>
          <w:szCs w:val="21"/>
        </w:rPr>
      </w:pPr>
      <w:r>
        <w:fldChar w:fldCharType="begin"/>
      </w:r>
      <w:r>
        <w:instrText xml:space="preserve"> INCLUDEPICTURE "/Users/User/Library/Group Containers/UBF8T346G9.ms/WebArchiveCopyPasteTempFiles/com.microsoft.Word/6836f99b436872b49feb35009629bd07.jpg"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488B6C" wp14:editId="6319A5F8">
            <wp:extent cx="3628390" cy="3589655"/>
            <wp:effectExtent l="0" t="0" r="3810" b="4445"/>
            <wp:docPr id="6" name="Imagem 6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A24820C" w14:textId="77777777" w:rsidR="00902D53" w:rsidRDefault="00902D53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5D04818F" w14:textId="10EB2039" w:rsidR="00F845E6" w:rsidRDefault="00F845E6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273FD2F2" w14:textId="77777777" w:rsidR="00F845E6" w:rsidRPr="009C051D" w:rsidRDefault="00F845E6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4139F2C5" w14:textId="5635E0C1" w:rsidR="009C051D" w:rsidRDefault="009C051D" w:rsidP="009C051D">
      <w:pPr>
        <w:rPr>
          <w:rFonts w:ascii="Calibri" w:hAnsi="Calibri" w:cs="Calibri"/>
          <w:color w:val="000000"/>
          <w:sz w:val="21"/>
          <w:szCs w:val="21"/>
        </w:rPr>
      </w:pPr>
      <w:r w:rsidRPr="009C051D">
        <w:rPr>
          <w:rFonts w:ascii="Calibri" w:hAnsi="Calibri" w:cs="Calibri"/>
          <w:color w:val="000000"/>
          <w:sz w:val="21"/>
          <w:szCs w:val="21"/>
        </w:rPr>
        <w:lastRenderedPageBreak/>
        <w:t xml:space="preserve"> </w:t>
      </w:r>
      <w:r w:rsidRPr="009C051D"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6BFC2A5F" wp14:editId="4A4C8390">
            <wp:extent cx="5400040" cy="40500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45D9" w14:textId="6045973C" w:rsidR="009C051D" w:rsidRDefault="009C051D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68C7C07F" w14:textId="5230B0F6" w:rsidR="008A51BC" w:rsidRDefault="008A51BC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3101ABA1" w14:textId="3EE3919B" w:rsidR="008A51BC" w:rsidRDefault="008A51BC" w:rsidP="008A51BC">
      <w:pPr>
        <w:rPr>
          <w:rFonts w:ascii="Calibri" w:hAnsi="Calibri" w:cs="Calibri"/>
          <w:color w:val="000000"/>
          <w:sz w:val="21"/>
          <w:szCs w:val="21"/>
        </w:rPr>
      </w:pPr>
      <w:r w:rsidRPr="008A51BC"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3B55B1F0" wp14:editId="184280D1">
            <wp:extent cx="5400040" cy="4050030"/>
            <wp:effectExtent l="0" t="0" r="0" b="127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208E" w14:textId="179A4568" w:rsidR="009C051D" w:rsidRDefault="009C051D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14655CA8" w14:textId="179AC686" w:rsidR="008A51BC" w:rsidRDefault="008A51BC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27BEC4D8" w14:textId="26FE33DF" w:rsidR="008A51BC" w:rsidRDefault="008A51BC" w:rsidP="008A51BC">
      <w:pPr>
        <w:rPr>
          <w:rFonts w:ascii="Calibri" w:hAnsi="Calibri" w:cs="Calibri"/>
          <w:color w:val="000000"/>
          <w:sz w:val="21"/>
          <w:szCs w:val="21"/>
        </w:rPr>
      </w:pPr>
      <w:r w:rsidRPr="008A51BC">
        <w:rPr>
          <w:rFonts w:ascii="Calibri" w:hAnsi="Calibri" w:cs="Calibri"/>
          <w:noProof/>
          <w:color w:val="000000"/>
          <w:sz w:val="21"/>
          <w:szCs w:val="21"/>
        </w:rPr>
        <w:drawing>
          <wp:inline distT="0" distB="0" distL="0" distR="0" wp14:anchorId="0118AD0F" wp14:editId="3556E934">
            <wp:extent cx="5400040" cy="4050030"/>
            <wp:effectExtent l="0" t="0" r="0" b="127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6133" w14:textId="509B9561" w:rsidR="008A51BC" w:rsidRDefault="008A51BC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7BBE7863" w14:textId="551D591D" w:rsidR="008A51BC" w:rsidRDefault="008A51BC" w:rsidP="009C051D">
      <w:pPr>
        <w:rPr>
          <w:rFonts w:ascii="Calibri" w:hAnsi="Calibri" w:cs="Calibri"/>
          <w:color w:val="000000"/>
          <w:sz w:val="21"/>
          <w:szCs w:val="21"/>
        </w:rPr>
      </w:pPr>
    </w:p>
    <w:p w14:paraId="5D31EF40" w14:textId="5FB44968" w:rsidR="00FF53DC" w:rsidRDefault="00FF53DC" w:rsidP="009C051D">
      <w:pPr>
        <w:rPr>
          <w:rFonts w:ascii="Calibri" w:hAnsi="Calibri" w:cs="Calibri"/>
          <w:color w:val="000000"/>
          <w:sz w:val="21"/>
          <w:szCs w:val="21"/>
        </w:rPr>
      </w:pPr>
    </w:p>
    <w:sectPr w:rsidR="00FF5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3946" w14:textId="77777777" w:rsidR="00B9504D" w:rsidRDefault="00B9504D" w:rsidP="00B9504D">
      <w:r>
        <w:separator/>
      </w:r>
    </w:p>
  </w:endnote>
  <w:endnote w:type="continuationSeparator" w:id="0">
    <w:p w14:paraId="6E3CAE96" w14:textId="77777777" w:rsidR="00B9504D" w:rsidRDefault="00B9504D" w:rsidP="00B9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-Identity-H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D74A" w14:textId="77777777" w:rsidR="00B9504D" w:rsidRDefault="00B9504D" w:rsidP="00B9504D">
      <w:r>
        <w:separator/>
      </w:r>
    </w:p>
  </w:footnote>
  <w:footnote w:type="continuationSeparator" w:id="0">
    <w:p w14:paraId="72FCF623" w14:textId="77777777" w:rsidR="00B9504D" w:rsidRDefault="00B9504D" w:rsidP="00B9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DAB"/>
    <w:multiLevelType w:val="hybridMultilevel"/>
    <w:tmpl w:val="C53293F6"/>
    <w:lvl w:ilvl="0" w:tplc="B110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01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8C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24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22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04A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CA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C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D7633"/>
    <w:multiLevelType w:val="hybridMultilevel"/>
    <w:tmpl w:val="C1B00DB6"/>
    <w:lvl w:ilvl="0" w:tplc="4CE8C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22D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506C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045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88A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0C2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E4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2F1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6C76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885239"/>
    <w:multiLevelType w:val="multilevel"/>
    <w:tmpl w:val="402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5344F"/>
    <w:multiLevelType w:val="hybridMultilevel"/>
    <w:tmpl w:val="FC6442AA"/>
    <w:lvl w:ilvl="0" w:tplc="F1668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49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82F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07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F85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EC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A1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C3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D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8A7E14"/>
    <w:multiLevelType w:val="hybridMultilevel"/>
    <w:tmpl w:val="45B8325E"/>
    <w:lvl w:ilvl="0" w:tplc="C652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9CFF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2D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03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E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5A8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0C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30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0B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B764EE"/>
    <w:multiLevelType w:val="hybridMultilevel"/>
    <w:tmpl w:val="D1FC3748"/>
    <w:lvl w:ilvl="0" w:tplc="E288FBE2">
      <w:start w:val="1"/>
      <w:numFmt w:val="decimal"/>
      <w:lvlText w:val="%1-"/>
      <w:lvlJc w:val="left"/>
      <w:pPr>
        <w:ind w:left="720" w:hanging="360"/>
      </w:pPr>
      <w:rPr>
        <w:rFonts w:ascii="ArialMT-Identity-H" w:hAnsi="ArialMT-Identity-H"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3283"/>
    <w:multiLevelType w:val="hybridMultilevel"/>
    <w:tmpl w:val="11E4CD0E"/>
    <w:lvl w:ilvl="0" w:tplc="31D08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408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453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9EB0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3A2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4B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3EA0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45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BE7D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372BC8"/>
    <w:multiLevelType w:val="hybridMultilevel"/>
    <w:tmpl w:val="994C7A32"/>
    <w:lvl w:ilvl="0" w:tplc="0816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8" w15:restartNumberingAfterBreak="0">
    <w:nsid w:val="45052389"/>
    <w:multiLevelType w:val="hybridMultilevel"/>
    <w:tmpl w:val="0D28F29A"/>
    <w:lvl w:ilvl="0" w:tplc="BDE0C9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256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6B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0A62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8CA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A2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48F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3A9D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FEF7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3B060C"/>
    <w:multiLevelType w:val="multilevel"/>
    <w:tmpl w:val="6B1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CA63E3"/>
    <w:multiLevelType w:val="hybridMultilevel"/>
    <w:tmpl w:val="B27E1ED8"/>
    <w:lvl w:ilvl="0" w:tplc="8B549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091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542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E3A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E65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8C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EE17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2BD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7677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623090"/>
    <w:multiLevelType w:val="hybridMultilevel"/>
    <w:tmpl w:val="961888E8"/>
    <w:lvl w:ilvl="0" w:tplc="B546B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EF31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FCC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61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09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6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C8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46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5A8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D044ABE"/>
    <w:multiLevelType w:val="hybridMultilevel"/>
    <w:tmpl w:val="226040EE"/>
    <w:lvl w:ilvl="0" w:tplc="7E98F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25F9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C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380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44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85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A1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668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C83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63558337">
    <w:abstractNumId w:val="9"/>
  </w:num>
  <w:num w:numId="2" w16cid:durableId="2066709527">
    <w:abstractNumId w:val="2"/>
  </w:num>
  <w:num w:numId="3" w16cid:durableId="539587961">
    <w:abstractNumId w:val="10"/>
  </w:num>
  <w:num w:numId="4" w16cid:durableId="594268">
    <w:abstractNumId w:val="7"/>
  </w:num>
  <w:num w:numId="5" w16cid:durableId="1583374288">
    <w:abstractNumId w:val="5"/>
  </w:num>
  <w:num w:numId="6" w16cid:durableId="834809624">
    <w:abstractNumId w:val="8"/>
  </w:num>
  <w:num w:numId="7" w16cid:durableId="2109039351">
    <w:abstractNumId w:val="1"/>
  </w:num>
  <w:num w:numId="8" w16cid:durableId="1184441645">
    <w:abstractNumId w:val="6"/>
  </w:num>
  <w:num w:numId="9" w16cid:durableId="30111843">
    <w:abstractNumId w:val="11"/>
  </w:num>
  <w:num w:numId="10" w16cid:durableId="1427579067">
    <w:abstractNumId w:val="3"/>
  </w:num>
  <w:num w:numId="11" w16cid:durableId="1967660069">
    <w:abstractNumId w:val="4"/>
  </w:num>
  <w:num w:numId="12" w16cid:durableId="1544706381">
    <w:abstractNumId w:val="0"/>
  </w:num>
  <w:num w:numId="13" w16cid:durableId="605772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1"/>
    <w:rsid w:val="00004115"/>
    <w:rsid w:val="00014F08"/>
    <w:rsid w:val="00045719"/>
    <w:rsid w:val="00067720"/>
    <w:rsid w:val="000846FD"/>
    <w:rsid w:val="0013315A"/>
    <w:rsid w:val="001402CD"/>
    <w:rsid w:val="00165270"/>
    <w:rsid w:val="00176176"/>
    <w:rsid w:val="001F6ED3"/>
    <w:rsid w:val="00280182"/>
    <w:rsid w:val="002A55B9"/>
    <w:rsid w:val="00330B4E"/>
    <w:rsid w:val="00372226"/>
    <w:rsid w:val="003B589A"/>
    <w:rsid w:val="00443BDB"/>
    <w:rsid w:val="00452BA2"/>
    <w:rsid w:val="0046438A"/>
    <w:rsid w:val="00490040"/>
    <w:rsid w:val="004E623C"/>
    <w:rsid w:val="00500939"/>
    <w:rsid w:val="0051603C"/>
    <w:rsid w:val="00552FB3"/>
    <w:rsid w:val="00554C43"/>
    <w:rsid w:val="00577A23"/>
    <w:rsid w:val="00582285"/>
    <w:rsid w:val="005A3C88"/>
    <w:rsid w:val="005B3C36"/>
    <w:rsid w:val="00665E10"/>
    <w:rsid w:val="006F78B1"/>
    <w:rsid w:val="007238A1"/>
    <w:rsid w:val="00727507"/>
    <w:rsid w:val="00744094"/>
    <w:rsid w:val="00771AED"/>
    <w:rsid w:val="00776653"/>
    <w:rsid w:val="00787216"/>
    <w:rsid w:val="008605E7"/>
    <w:rsid w:val="008A51BC"/>
    <w:rsid w:val="008E4EAA"/>
    <w:rsid w:val="00902D53"/>
    <w:rsid w:val="00925888"/>
    <w:rsid w:val="00926D95"/>
    <w:rsid w:val="009A4C66"/>
    <w:rsid w:val="009C051D"/>
    <w:rsid w:val="00A14155"/>
    <w:rsid w:val="00A23204"/>
    <w:rsid w:val="00A37FEC"/>
    <w:rsid w:val="00A80E50"/>
    <w:rsid w:val="00AB5C2F"/>
    <w:rsid w:val="00B510A5"/>
    <w:rsid w:val="00B72A14"/>
    <w:rsid w:val="00B9504D"/>
    <w:rsid w:val="00BB5DC4"/>
    <w:rsid w:val="00BB67CF"/>
    <w:rsid w:val="00C17AA1"/>
    <w:rsid w:val="00C779A0"/>
    <w:rsid w:val="00C80982"/>
    <w:rsid w:val="00C910F0"/>
    <w:rsid w:val="00CB1ABD"/>
    <w:rsid w:val="00CE3333"/>
    <w:rsid w:val="00D1744D"/>
    <w:rsid w:val="00D47213"/>
    <w:rsid w:val="00D71478"/>
    <w:rsid w:val="00D726EA"/>
    <w:rsid w:val="00DE6213"/>
    <w:rsid w:val="00E0622C"/>
    <w:rsid w:val="00E11A43"/>
    <w:rsid w:val="00E62910"/>
    <w:rsid w:val="00EA5CA4"/>
    <w:rsid w:val="00EB6931"/>
    <w:rsid w:val="00EC11E4"/>
    <w:rsid w:val="00EF68DD"/>
    <w:rsid w:val="00F659C7"/>
    <w:rsid w:val="00F77E13"/>
    <w:rsid w:val="00F845E6"/>
    <w:rsid w:val="00FB052B"/>
    <w:rsid w:val="00FC6CE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B54FB"/>
  <w15:chartTrackingRefBased/>
  <w15:docId w15:val="{3415CC6E-B75F-6844-A822-75082A10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4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B69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7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04115"/>
  </w:style>
  <w:style w:type="paragraph" w:styleId="NormalWeb">
    <w:name w:val="Normal (Web)"/>
    <w:basedOn w:val="Normal"/>
    <w:uiPriority w:val="99"/>
    <w:unhideWhenUsed/>
    <w:rsid w:val="000041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4115"/>
    <w:rPr>
      <w:b/>
      <w:bCs/>
    </w:rPr>
  </w:style>
  <w:style w:type="paragraph" w:styleId="ListParagraph">
    <w:name w:val="List Paragraph"/>
    <w:basedOn w:val="Normal"/>
    <w:uiPriority w:val="34"/>
    <w:qFormat/>
    <w:rsid w:val="00C779A0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39"/>
    <w:rsid w:val="0074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57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11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3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2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4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7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5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6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8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01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91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6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Matos</dc:creator>
  <cp:keywords/>
  <dc:description/>
  <cp:lastModifiedBy>João C. Martins</cp:lastModifiedBy>
  <cp:revision>2</cp:revision>
  <dcterms:created xsi:type="dcterms:W3CDTF">2023-04-02T22:38:00Z</dcterms:created>
  <dcterms:modified xsi:type="dcterms:W3CDTF">2023-04-02T22:38:00Z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d4c66a-7c8a-4c88-a41a-dc132491a08a_Enabled">
    <vt:lpwstr>true</vt:lpwstr>
  </property>
  <property fmtid="{D5CDD505-2E9C-101B-9397-08002B2CF9AE}" pid="3" name="MSIP_Label_f9d4c66a-7c8a-4c88-a41a-dc132491a08a_SetDate">
    <vt:lpwstr>2023-04-02T22:38:51Z</vt:lpwstr>
  </property>
  <property fmtid="{D5CDD505-2E9C-101B-9397-08002B2CF9AE}" pid="4" name="MSIP_Label_f9d4c66a-7c8a-4c88-a41a-dc132491a08a_Method">
    <vt:lpwstr>Privileged</vt:lpwstr>
  </property>
  <property fmtid="{D5CDD505-2E9C-101B-9397-08002B2CF9AE}" pid="5" name="MSIP_Label_f9d4c66a-7c8a-4c88-a41a-dc132491a08a_Name">
    <vt:lpwstr>Público - Sem marca de água</vt:lpwstr>
  </property>
  <property fmtid="{D5CDD505-2E9C-101B-9397-08002B2CF9AE}" pid="6" name="MSIP_Label_f9d4c66a-7c8a-4c88-a41a-dc132491a08a_SiteId">
    <vt:lpwstr>f92c299d-3d5a-4621-abd4-755e52e5161d</vt:lpwstr>
  </property>
  <property fmtid="{D5CDD505-2E9C-101B-9397-08002B2CF9AE}" pid="7" name="MSIP_Label_f9d4c66a-7c8a-4c88-a41a-dc132491a08a_ActionId">
    <vt:lpwstr>214b9f4c-5938-4f1e-8577-aec7fd2bd1a1</vt:lpwstr>
  </property>
  <property fmtid="{D5CDD505-2E9C-101B-9397-08002B2CF9AE}" pid="8" name="MSIP_Label_f9d4c66a-7c8a-4c88-a41a-dc132491a08a_ContentBits">
    <vt:lpwstr>0</vt:lpwstr>
  </property>
</Properties>
</file>